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4"/>
          <w:szCs w:val="34"/>
          <w:color w:val="197B4B"/>
        </w:rPr>
        <w:t xml:space="preserve">HI-VIS WORKWEAR</w:t>
      </w:r>
    </w:p>
    <w:p>
      <w:r>
        <w:rPr>
          <w:b/>
          <w:sz w:val="44"/>
          <w:szCs w:val="44"/>
          <w:color w:val="17231D"/>
        </w:rPr>
        <w:t xml:space="preserve">RFQ &amp; SUPPLIER EVALUATION PACK</w:t>
      </w:r>
    </w:p>
    <w:p>
      <w:r>
        <w:rPr>
          <w:sz w:val="20"/>
          <w:szCs w:val="20"/>
          <w:color w:val="66736C"/>
        </w:rPr>
        <w:t xml:space="preserve">Editable procurement template • reflective.cn</w:t>
      </w:r>
    </w:p>
    <w:p>
      <w:r>
        <w:rPr>
          <w:sz w:val="19"/>
          <w:szCs w:val="19"/>
        </w:rPr>
        <w:t xml:space="preserve">Use this document to issue a controlled RFQ, compare supplier responses and record sample approvals. Replace guidance with project data. Confirm market-specific PPE requirements with a competent professional.</w:t>
      </w:r>
    </w:p>
    <w:p>
      <w:r>
        <w:rPr>
          <w:b/>
          <w:sz w:val="28"/>
          <w:szCs w:val="28"/>
          <w:color w:val="197B4B"/>
        </w:rPr>
        <w:t xml:space="preserve">1. Project and use-case brief</w:t>
      </w:r>
    </w:p>
    <w:tbl>
      <w:tblPr>
        <w:tblW w:w="9000" w:type="dxa"/>
        <w:tblBorders>
          <w:top w:val="single" w:sz="4" w:color="B7C7BF"/>
          <w:left w:val="single" w:sz="4" w:color="B7C7BF"/>
          <w:bottom w:val="single" w:sz="4" w:color="B7C7BF"/>
          <w:right w:val="single" w:sz="4" w:color="B7C7BF"/>
          <w:insideH w:val="single" w:sz="4" w:color="B7C7BF"/>
          <w:insideV w:val="single" w:sz="4" w:color="B7C7BF"/>
        </w:tblBorders>
      </w:tblPr>
      <w:tblGrid>
        <w:gridCol w:w="4500"/>
        <w:gridCol w:w="4500"/>
      </w:tblGrid>
      <w:tr>
        <w:tc>
          <w:tcPr>
            <w:tcW w:w="4500" w:type="dxa"/>
            <w:shd w:fill="EAF5EF"/>
          </w:tcPr>
          <w:p>
            <w:r>
              <w:rPr>
                <w:b/>
                <w:sz w:val="18"/>
                <w:szCs w:val="18"/>
              </w:rPr>
              <w:t xml:space="preserve">RFQ field</w:t>
            </w:r>
          </w:p>
        </w:tc>
        <w:tc>
          <w:tcPr>
            <w:tcW w:w="4500" w:type="dxa"/>
            <w:shd w:fill="EAF5EF"/>
          </w:tcPr>
          <w:p>
            <w:r>
              <w:rPr>
                <w:b/>
                <w:sz w:val="18"/>
                <w:szCs w:val="18"/>
              </w:rPr>
              <w:t xml:space="preserve">Buyer requirement / supplier response</w:t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Buyer / project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RFQ revision and issue date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Destination country and industry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Worksite and wearer tasks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Vehicle or machinery exposure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Lighting and viewing distance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Weather, temperature and contamination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Wearing duration and layering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Required delivery date and destination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</w:tbl>
    <w:p>
      <w:r>
        <w:rPr>
          <w:sz w:val="20"/>
          <w:szCs w:val="20"/>
        </w:rPr>
        <w:t xml:space="preserve"/>
      </w:r>
    </w:p>
    <w:p>
      <w:r>
        <w:rPr>
          <w:b/>
          <w:sz w:val="28"/>
          <w:szCs w:val="28"/>
          <w:color w:val="197B4B"/>
        </w:rPr>
        <w:t xml:space="preserve">2. Finished garment specification</w:t>
      </w:r>
    </w:p>
    <w:tbl>
      <w:tblPr>
        <w:tblW w:w="9000" w:type="dxa"/>
        <w:tblBorders>
          <w:top w:val="single" w:sz="4" w:color="B7C7BF"/>
          <w:left w:val="single" w:sz="4" w:color="B7C7BF"/>
          <w:bottom w:val="single" w:sz="4" w:color="B7C7BF"/>
          <w:right w:val="single" w:sz="4" w:color="B7C7BF"/>
          <w:insideH w:val="single" w:sz="4" w:color="B7C7BF"/>
          <w:insideV w:val="single" w:sz="4" w:color="B7C7BF"/>
        </w:tblBorders>
      </w:tblPr>
      <w:tblGrid>
        <w:gridCol w:w="4500"/>
        <w:gridCol w:w="4500"/>
      </w:tblGrid>
      <w:tr>
        <w:tc>
          <w:tcPr>
            <w:tcW w:w="4500" w:type="dxa"/>
            <w:shd w:fill="EAF5EF"/>
          </w:tcPr>
          <w:p>
            <w:r>
              <w:rPr>
                <w:b/>
                <w:sz w:val="18"/>
                <w:szCs w:val="18"/>
              </w:rPr>
              <w:t xml:space="preserve">RFQ field</w:t>
            </w:r>
          </w:p>
        </w:tc>
        <w:tc>
          <w:tcPr>
            <w:tcW w:w="4500" w:type="dxa"/>
            <w:shd w:fill="EAF5EF"/>
          </w:tcPr>
          <w:p>
            <w:r>
              <w:rPr>
                <w:b/>
                <w:sz w:val="18"/>
                <w:szCs w:val="18"/>
              </w:rPr>
              <w:t xml:space="preserve">Buyer requirement / supplier response</w:t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Garment type / style reference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Mandatory / preferred / supplier proposal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Fluorescent colour and contrast panels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Base fabric composition and weight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Reflective material, width and layout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Closure and storm-flap construction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Hood design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Cuffs and hem adjustment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Pocket count, position and closure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Lining / insulation / breathability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Care method and expected wash process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Size range and fit-over-clothing requirement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Finished measurements and tolerances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Logo method, size, colours and position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Labels, instructions and languages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Individual and carton packaging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</w:tbl>
    <w:p>
      <w:r>
        <w:rPr>
          <w:sz w:val="20"/>
          <w:szCs w:val="20"/>
        </w:rPr>
        <w:t xml:space="preserve"/>
      </w:r>
    </w:p>
    <w:p>
      <w:r>
        <w:rPr>
          <w:b/>
          <w:sz w:val="28"/>
          <w:szCs w:val="28"/>
          <w:color w:val="197B4B"/>
        </w:rPr>
        <w:t xml:space="preserve">3. Compliance and document traceability</w:t>
      </w:r>
    </w:p>
    <w:tbl>
      <w:tblPr>
        <w:tblW w:w="9000" w:type="dxa"/>
        <w:tblBorders>
          <w:top w:val="single" w:sz="4" w:color="B7C7BF"/>
          <w:left w:val="single" w:sz="4" w:color="B7C7BF"/>
          <w:bottom w:val="single" w:sz="4" w:color="B7C7BF"/>
          <w:right w:val="single" w:sz="4" w:color="B7C7BF"/>
          <w:insideH w:val="single" w:sz="4" w:color="B7C7BF"/>
          <w:insideV w:val="single" w:sz="4" w:color="B7C7BF"/>
        </w:tblBorders>
      </w:tblPr>
      <w:tblGrid>
        <w:gridCol w:w="4500"/>
        <w:gridCol w:w="4500"/>
      </w:tblGrid>
      <w:tr>
        <w:tc>
          <w:tcPr>
            <w:tcW w:w="4500" w:type="dxa"/>
            <w:shd w:fill="EAF5EF"/>
          </w:tcPr>
          <w:p>
            <w:r>
              <w:rPr>
                <w:b/>
                <w:sz w:val="18"/>
                <w:szCs w:val="18"/>
              </w:rPr>
              <w:t xml:space="preserve">RFQ field</w:t>
            </w:r>
          </w:p>
        </w:tc>
        <w:tc>
          <w:tcPr>
            <w:tcW w:w="4500" w:type="dxa"/>
            <w:shd w:fill="EAF5EF"/>
          </w:tcPr>
          <w:p>
            <w:r>
              <w:rPr>
                <w:b/>
                <w:sz w:val="18"/>
                <w:szCs w:val="18"/>
              </w:rPr>
              <w:t xml:space="preserve">Buyer requirement / supplier response</w:t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Target standard(s) and edition(s)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Finished garment class / performance level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Certificate or report reference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Issuer / notified body where applicable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Document product/model identification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Document matches offered finished style?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Base and reflective material evidence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Declaration / instructions / label artwork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Expiry, surveillance or validity notes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Exceptions requiring specialist review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</w:tbl>
    <w:p>
      <w:r>
        <w:rPr>
          <w:sz w:val="20"/>
          <w:szCs w:val="20"/>
        </w:rPr>
        <w:t xml:space="preserve"/>
      </w:r>
    </w:p>
    <w:p>
      <w:r>
        <w:rPr>
          <w:b/>
          <w:sz w:val="28"/>
          <w:szCs w:val="28"/>
          <w:color w:val="197B4B"/>
        </w:rPr>
        <w:t xml:space="preserve">4. Samples and approval gates</w:t>
      </w:r>
    </w:p>
    <w:tbl>
      <w:tblPr>
        <w:tblW w:w="9000" w:type="dxa"/>
        <w:tblBorders>
          <w:top w:val="single" w:sz="4" w:color="B7C7BF"/>
          <w:left w:val="single" w:sz="4" w:color="B7C7BF"/>
          <w:bottom w:val="single" w:sz="4" w:color="B7C7BF"/>
          <w:right w:val="single" w:sz="4" w:color="B7C7BF"/>
          <w:insideH w:val="single" w:sz="4" w:color="B7C7BF"/>
          <w:insideV w:val="single" w:sz="4" w:color="B7C7BF"/>
        </w:tblBorders>
      </w:tblPr>
      <w:tblGrid>
        <w:gridCol w:w="4500"/>
        <w:gridCol w:w="4500"/>
      </w:tblGrid>
      <w:tr>
        <w:tc>
          <w:tcPr>
            <w:tcW w:w="4500" w:type="dxa"/>
            <w:shd w:fill="EAF5EF"/>
          </w:tcPr>
          <w:p>
            <w:r>
              <w:rPr>
                <w:b/>
                <w:sz w:val="18"/>
                <w:szCs w:val="18"/>
              </w:rPr>
              <w:t xml:space="preserve">RFQ field</w:t>
            </w:r>
          </w:p>
        </w:tc>
        <w:tc>
          <w:tcPr>
            <w:tcW w:w="4500" w:type="dxa"/>
            <w:shd w:fill="EAF5EF"/>
          </w:tcPr>
          <w:p>
            <w:r>
              <w:rPr>
                <w:b/>
                <w:sz w:val="18"/>
                <w:szCs w:val="18"/>
              </w:rPr>
              <w:t xml:space="preserve">Buyer requirement / supplier response</w:t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Material and colour swatches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Development sample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Logo / decoration sample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Size set and grading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Pre-production sample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Packaging and label approval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Bulk inspection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</w:tbl>
    <w:p>
      <w:r>
        <w:rPr>
          <w:sz w:val="20"/>
          <w:szCs w:val="20"/>
        </w:rPr>
        <w:t xml:space="preserve"/>
      </w:r>
    </w:p>
    <w:p>
      <w:r>
        <w:rPr>
          <w:b/>
          <w:sz w:val="28"/>
          <w:szCs w:val="28"/>
          <w:color w:val="197B4B"/>
        </w:rPr>
        <w:t xml:space="preserve">5. Commercial response</w:t>
      </w:r>
    </w:p>
    <w:tbl>
      <w:tblPr>
        <w:tblW w:w="9000" w:type="dxa"/>
        <w:tblBorders>
          <w:top w:val="single" w:sz="4" w:color="B7C7BF"/>
          <w:left w:val="single" w:sz="4" w:color="B7C7BF"/>
          <w:bottom w:val="single" w:sz="4" w:color="B7C7BF"/>
          <w:right w:val="single" w:sz="4" w:color="B7C7BF"/>
          <w:insideH w:val="single" w:sz="4" w:color="B7C7BF"/>
          <w:insideV w:val="single" w:sz="4" w:color="B7C7BF"/>
        </w:tblBorders>
      </w:tblPr>
      <w:tblGrid>
        <w:gridCol w:w="4500"/>
        <w:gridCol w:w="4500"/>
      </w:tblGrid>
      <w:tr>
        <w:tc>
          <w:tcPr>
            <w:tcW w:w="4500" w:type="dxa"/>
            <w:shd w:fill="EAF5EF"/>
          </w:tcPr>
          <w:p>
            <w:r>
              <w:rPr>
                <w:b/>
                <w:sz w:val="18"/>
                <w:szCs w:val="18"/>
              </w:rPr>
              <w:t xml:space="preserve">RFQ field</w:t>
            </w:r>
          </w:p>
        </w:tc>
        <w:tc>
          <w:tcPr>
            <w:tcW w:w="4500" w:type="dxa"/>
            <w:shd w:fill="EAF5EF"/>
          </w:tcPr>
          <w:p>
            <w:r>
              <w:rPr>
                <w:b/>
                <w:sz w:val="18"/>
                <w:szCs w:val="18"/>
              </w:rPr>
              <w:t xml:space="preserve">Buyer requirement / supplier response</w:t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MOQ and quantity price breaks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Unit price and currency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Incoterm and named port/place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Sample, tooling and artwork charges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Optional feature cost breakdown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Payment terms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Sample lead time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Production lead time after approval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Packaging and carton assumptions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Quotation validity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Capacity / peak-season constraints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Supplier exceptions or substitutions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</w:tbl>
    <w:p>
      <w:r>
        <w:rPr>
          <w:sz w:val="20"/>
          <w:szCs w:val="20"/>
        </w:rPr>
        <w:t xml:space="preserve"/>
      </w:r>
    </w:p>
    <w:p>
      <w:r>
        <w:rPr>
          <w:b/>
          <w:sz w:val="28"/>
          <w:szCs w:val="28"/>
          <w:color w:val="197B4B"/>
        </w:rPr>
        <w:t xml:space="preserve">6. Supplier comparison</w:t>
      </w:r>
    </w:p>
    <w:tbl>
      <w:tblPr>
        <w:tblW w:w="9000" w:type="dxa"/>
        <w:tblBorders>
          <w:top w:val="single" w:sz="4" w:color="B7C7BF"/>
          <w:left w:val="single" w:sz="4" w:color="B7C7BF"/>
          <w:bottom w:val="single" w:sz="4" w:color="B7C7BF"/>
          <w:right w:val="single" w:sz="4" w:color="B7C7BF"/>
          <w:insideH w:val="single" w:sz="4" w:color="B7C7BF"/>
          <w:insideV w:val="single" w:sz="4" w:color="B7C7BF"/>
        </w:tblBorders>
      </w:tblPr>
      <w:tblGrid>
        <w:gridCol w:w="2250"/>
        <w:gridCol w:w="2250"/>
        <w:gridCol w:w="2250"/>
        <w:gridCol w:w="2250"/>
      </w:tblGrid>
      <w:tr>
        <w:tc>
          <w:tcPr>
            <w:tcW w:w="2250" w:type="dxa"/>
            <w:shd w:fill="EAF5EF"/>
          </w:tcPr>
          <w:p>
            <w:r>
              <w:rPr>
                <w:b/>
                <w:sz w:val="18"/>
                <w:szCs w:val="18"/>
              </w:rPr>
              <w:t xml:space="preserve">Evaluation area</w:t>
            </w:r>
          </w:p>
        </w:tc>
        <w:tc>
          <w:tcPr>
            <w:tcW w:w="2250" w:type="dxa"/>
            <w:shd w:fill="EAF5EF"/>
          </w:tcPr>
          <w:p>
            <w:r>
              <w:rPr>
                <w:b/>
                <w:sz w:val="18"/>
                <w:szCs w:val="18"/>
              </w:rPr>
              <w:t xml:space="preserve">Supplier A</w:t>
            </w:r>
          </w:p>
        </w:tc>
        <w:tc>
          <w:tcPr>
            <w:tcW w:w="2250" w:type="dxa"/>
            <w:shd w:fill="EAF5EF"/>
          </w:tcPr>
          <w:p>
            <w:r>
              <w:rPr>
                <w:b/>
                <w:sz w:val="18"/>
                <w:szCs w:val="18"/>
              </w:rPr>
              <w:t xml:space="preserve">Supplier B</w:t>
            </w:r>
          </w:p>
        </w:tc>
        <w:tc>
          <w:tcPr>
            <w:tcW w:w="2250" w:type="dxa"/>
            <w:shd w:fill="EAF5EF"/>
          </w:tcPr>
          <w:p>
            <w:r>
              <w:rPr>
                <w:b/>
                <w:sz w:val="18"/>
                <w:szCs w:val="18"/>
              </w:rPr>
              <w:t xml:space="preserve">Supplier C</w:t>
            </w:r>
          </w:p>
        </w:tc>
      </w:tr>
      <w:tr>
        <w:tc>
          <w:tcPr>
            <w:tcW w:w="2250" w:type="dxa"/>
          </w:tcPr>
          <w:p>
            <w:r>
              <w:rPr>
                <w:sz w:val="18"/>
                <w:szCs w:val="18"/>
              </w:rPr>
              <w:t xml:space="preserve">Exact specification match</w:t>
            </w:r>
          </w:p>
        </w:tc>
        <w:tc>
          <w:tcPr>
            <w:tcW w:w="225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25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25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2250" w:type="dxa"/>
          </w:tcPr>
          <w:p>
            <w:r>
              <w:rPr>
                <w:sz w:val="18"/>
                <w:szCs w:val="18"/>
              </w:rPr>
              <w:t xml:space="preserve">Document traceability</w:t>
            </w:r>
          </w:p>
        </w:tc>
        <w:tc>
          <w:tcPr>
            <w:tcW w:w="225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25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25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2250" w:type="dxa"/>
          </w:tcPr>
          <w:p>
            <w:r>
              <w:rPr>
                <w:sz w:val="18"/>
                <w:szCs w:val="18"/>
              </w:rPr>
              <w:t xml:space="preserve">MOQ / price basis</w:t>
            </w:r>
          </w:p>
        </w:tc>
        <w:tc>
          <w:tcPr>
            <w:tcW w:w="225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25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25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2250" w:type="dxa"/>
          </w:tcPr>
          <w:p>
            <w:r>
              <w:rPr>
                <w:sz w:val="18"/>
                <w:szCs w:val="18"/>
              </w:rPr>
              <w:t xml:space="preserve">Sample quality</w:t>
            </w:r>
          </w:p>
        </w:tc>
        <w:tc>
          <w:tcPr>
            <w:tcW w:w="225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25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25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2250" w:type="dxa"/>
          </w:tcPr>
          <w:p>
            <w:r>
              <w:rPr>
                <w:sz w:val="18"/>
                <w:szCs w:val="18"/>
              </w:rPr>
              <w:t xml:space="preserve">Lead time</w:t>
            </w:r>
          </w:p>
        </w:tc>
        <w:tc>
          <w:tcPr>
            <w:tcW w:w="225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25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25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2250" w:type="dxa"/>
          </w:tcPr>
          <w:p>
            <w:r>
              <w:rPr>
                <w:sz w:val="18"/>
                <w:szCs w:val="18"/>
              </w:rPr>
              <w:t xml:space="preserve">Payment terms</w:t>
            </w:r>
          </w:p>
        </w:tc>
        <w:tc>
          <w:tcPr>
            <w:tcW w:w="225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25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25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2250" w:type="dxa"/>
          </w:tcPr>
          <w:p>
            <w:r>
              <w:rPr>
                <w:sz w:val="18"/>
                <w:szCs w:val="18"/>
              </w:rPr>
              <w:t xml:space="preserve">Packaging</w:t>
            </w:r>
          </w:p>
        </w:tc>
        <w:tc>
          <w:tcPr>
            <w:tcW w:w="225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25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25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2250" w:type="dxa"/>
          </w:tcPr>
          <w:p>
            <w:r>
              <w:rPr>
                <w:sz w:val="18"/>
                <w:szCs w:val="18"/>
              </w:rPr>
              <w:t xml:space="preserve">Exceptions / risks</w:t>
            </w:r>
          </w:p>
        </w:tc>
        <w:tc>
          <w:tcPr>
            <w:tcW w:w="225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25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25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2250" w:type="dxa"/>
          </w:tcPr>
          <w:p>
            <w:r>
              <w:rPr>
                <w:sz w:val="18"/>
                <w:szCs w:val="18"/>
              </w:rPr>
              <w:t xml:space="preserve">Decision</w:t>
            </w:r>
          </w:p>
        </w:tc>
        <w:tc>
          <w:tcPr>
            <w:tcW w:w="225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25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225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</w:tbl>
    <w:p>
      <w:r>
        <w:rPr>
          <w:sz w:val="20"/>
          <w:szCs w:val="20"/>
        </w:rPr>
        <w:t xml:space="preserve"/>
      </w:r>
    </w:p>
    <w:p>
      <w:r>
        <w:rPr>
          <w:b/>
          <w:sz w:val="28"/>
          <w:szCs w:val="28"/>
          <w:color w:val="197B4B"/>
        </w:rPr>
        <w:t xml:space="preserve">7. Weighted evaluation</w:t>
      </w:r>
    </w:p>
    <w:tbl>
      <w:tblPr>
        <w:tblW w:w="9000" w:type="dxa"/>
        <w:tblBorders>
          <w:top w:val="single" w:sz="4" w:color="B7C7BF"/>
          <w:left w:val="single" w:sz="4" w:color="B7C7BF"/>
          <w:bottom w:val="single" w:sz="4" w:color="B7C7BF"/>
          <w:right w:val="single" w:sz="4" w:color="B7C7BF"/>
          <w:insideH w:val="single" w:sz="4" w:color="B7C7BF"/>
          <w:insideV w:val="single" w:sz="4" w:color="B7C7BF"/>
        </w:tblBorders>
      </w:tblPr>
      <w:tblGrid>
        <w:gridCol w:w="1500"/>
        <w:gridCol w:w="1500"/>
        <w:gridCol w:w="1500"/>
        <w:gridCol w:w="1500"/>
        <w:gridCol w:w="1500"/>
        <w:gridCol w:w="1500"/>
      </w:tblGrid>
      <w:tr>
        <w:tc>
          <w:tcPr>
            <w:tcW w:w="1500" w:type="dxa"/>
            <w:shd w:fill="EAF5EF"/>
          </w:tcPr>
          <w:p>
            <w:r>
              <w:rPr>
                <w:b/>
                <w:sz w:val="18"/>
                <w:szCs w:val="18"/>
              </w:rPr>
              <w:t xml:space="preserve">Criterion</w:t>
            </w:r>
          </w:p>
        </w:tc>
        <w:tc>
          <w:tcPr>
            <w:tcW w:w="1500" w:type="dxa"/>
            <w:shd w:fill="EAF5EF"/>
          </w:tcPr>
          <w:p>
            <w:r>
              <w:rPr>
                <w:b/>
                <w:sz w:val="18"/>
                <w:szCs w:val="18"/>
              </w:rPr>
              <w:t xml:space="preserve">Weight %</w:t>
            </w:r>
          </w:p>
        </w:tc>
        <w:tc>
          <w:tcPr>
            <w:tcW w:w="1500" w:type="dxa"/>
            <w:shd w:fill="EAF5EF"/>
          </w:tcPr>
          <w:p>
            <w:r>
              <w:rPr>
                <w:b/>
                <w:sz w:val="18"/>
                <w:szCs w:val="18"/>
              </w:rPr>
              <w:t xml:space="preserve">Supplier A</w:t>
            </w:r>
          </w:p>
        </w:tc>
        <w:tc>
          <w:tcPr>
            <w:tcW w:w="1500" w:type="dxa"/>
            <w:shd w:fill="EAF5EF"/>
          </w:tcPr>
          <w:p>
            <w:r>
              <w:rPr>
                <w:b/>
                <w:sz w:val="18"/>
                <w:szCs w:val="18"/>
              </w:rPr>
              <w:t xml:space="preserve">Supplier B</w:t>
            </w:r>
          </w:p>
        </w:tc>
        <w:tc>
          <w:tcPr>
            <w:tcW w:w="1500" w:type="dxa"/>
            <w:shd w:fill="EAF5EF"/>
          </w:tcPr>
          <w:p>
            <w:r>
              <w:rPr>
                <w:b/>
                <w:sz w:val="18"/>
                <w:szCs w:val="18"/>
              </w:rPr>
              <w:t xml:space="preserve">Supplier C</w:t>
            </w:r>
          </w:p>
        </w:tc>
        <w:tc>
          <w:tcPr>
            <w:tcW w:w="1500" w:type="dxa"/>
            <w:shd w:fill="EAF5EF"/>
          </w:tcPr>
          <w:p>
            <w:r>
              <w:rPr>
                <w:b/>
                <w:sz w:val="18"/>
                <w:szCs w:val="18"/>
              </w:rPr>
              <w:t xml:space="preserve">Review notes</w:t>
            </w:r>
          </w:p>
        </w:tc>
      </w:tr>
      <w:tr>
        <w:tc>
          <w:tcPr>
            <w:tcW w:w="1500" w:type="dxa"/>
          </w:tcPr>
          <w:p>
            <w:r>
              <w:rPr>
                <w:sz w:val="18"/>
                <w:szCs w:val="18"/>
              </w:rPr>
              <w:t xml:space="preserve">Mandatory compliance gate</w:t>
            </w:r>
          </w:p>
        </w:tc>
        <w:tc>
          <w:tcPr>
            <w:tcW w:w="1500" w:type="dxa"/>
          </w:tcPr>
          <w:p>
            <w:r>
              <w:rPr>
                <w:sz w:val="18"/>
                <w:szCs w:val="18"/>
              </w:rPr>
              <w:t xml:space="preserve">Pass/Fail</w:t>
            </w:r>
          </w:p>
        </w:tc>
        <w:tc>
          <w:tcPr>
            <w:tcW w:w="1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1500" w:type="dxa"/>
          </w:tcPr>
          <w:p>
            <w:r>
              <w:rPr>
                <w:sz w:val="18"/>
                <w:szCs w:val="18"/>
              </w:rPr>
              <w:t xml:space="preserve">Specification match</w:t>
            </w:r>
          </w:p>
        </w:tc>
        <w:tc>
          <w:tcPr>
            <w:tcW w:w="1500" w:type="dxa"/>
          </w:tcPr>
          <w:p>
            <w:r>
              <w:rPr>
                <w:sz w:val="18"/>
                <w:szCs w:val="18"/>
              </w:rPr>
              <w:t xml:space="preserve">25</w:t>
            </w:r>
          </w:p>
        </w:tc>
        <w:tc>
          <w:tcPr>
            <w:tcW w:w="1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1500" w:type="dxa"/>
          </w:tcPr>
          <w:p>
            <w:r>
              <w:rPr>
                <w:sz w:val="18"/>
                <w:szCs w:val="18"/>
              </w:rPr>
              <w:t xml:space="preserve">Document traceability</w:t>
            </w:r>
          </w:p>
        </w:tc>
        <w:tc>
          <w:tcPr>
            <w:tcW w:w="1500" w:type="dxa"/>
          </w:tcPr>
          <w:p>
            <w:r>
              <w:rPr>
                <w:sz w:val="18"/>
                <w:szCs w:val="18"/>
              </w:rPr>
              <w:t xml:space="preserve">20</w:t>
            </w:r>
          </w:p>
        </w:tc>
        <w:tc>
          <w:tcPr>
            <w:tcW w:w="1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1500" w:type="dxa"/>
          </w:tcPr>
          <w:p>
            <w:r>
              <w:rPr>
                <w:sz w:val="18"/>
                <w:szCs w:val="18"/>
              </w:rPr>
              <w:t xml:space="preserve">Sample and workmanship</w:t>
            </w:r>
          </w:p>
        </w:tc>
        <w:tc>
          <w:tcPr>
            <w:tcW w:w="1500" w:type="dxa"/>
          </w:tcPr>
          <w:p>
            <w:r>
              <w:rPr>
                <w:sz w:val="18"/>
                <w:szCs w:val="18"/>
              </w:rPr>
              <w:t xml:space="preserve">20</w:t>
            </w:r>
          </w:p>
        </w:tc>
        <w:tc>
          <w:tcPr>
            <w:tcW w:w="1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1500" w:type="dxa"/>
          </w:tcPr>
          <w:p>
            <w:r>
              <w:rPr>
                <w:sz w:val="18"/>
                <w:szCs w:val="18"/>
              </w:rPr>
              <w:t xml:space="preserve">Commercial fit</w:t>
            </w:r>
          </w:p>
        </w:tc>
        <w:tc>
          <w:tcPr>
            <w:tcW w:w="1500" w:type="dxa"/>
          </w:tcPr>
          <w:p>
            <w:r>
              <w:rPr>
                <w:sz w:val="18"/>
                <w:szCs w:val="18"/>
              </w:rPr>
              <w:t xml:space="preserve">15</w:t>
            </w:r>
          </w:p>
        </w:tc>
        <w:tc>
          <w:tcPr>
            <w:tcW w:w="1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1500" w:type="dxa"/>
          </w:tcPr>
          <w:p>
            <w:r>
              <w:rPr>
                <w:sz w:val="18"/>
                <w:szCs w:val="18"/>
              </w:rPr>
              <w:t xml:space="preserve">Lead time and capacity</w:t>
            </w:r>
          </w:p>
        </w:tc>
        <w:tc>
          <w:tcPr>
            <w:tcW w:w="1500" w:type="dxa"/>
          </w:tcPr>
          <w:p>
            <w:r>
              <w:rPr>
                <w:sz w:val="18"/>
                <w:szCs w:val="18"/>
              </w:rPr>
              <w:t xml:space="preserve">10</w:t>
            </w:r>
          </w:p>
        </w:tc>
        <w:tc>
          <w:tcPr>
            <w:tcW w:w="1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1500" w:type="dxa"/>
          </w:tcPr>
          <w:p>
            <w:r>
              <w:rPr>
                <w:sz w:val="18"/>
                <w:szCs w:val="18"/>
              </w:rPr>
              <w:t xml:space="preserve">Communication and risk control</w:t>
            </w:r>
          </w:p>
        </w:tc>
        <w:tc>
          <w:tcPr>
            <w:tcW w:w="1500" w:type="dxa"/>
          </w:tcPr>
          <w:p>
            <w:r>
              <w:rPr>
                <w:sz w:val="18"/>
                <w:szCs w:val="18"/>
              </w:rPr>
              <w:t xml:space="preserve">10</w:t>
            </w:r>
          </w:p>
        </w:tc>
        <w:tc>
          <w:tcPr>
            <w:tcW w:w="1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1500" w:type="dxa"/>
          </w:tcPr>
          <w:p>
            <w:r>
              <w:rPr>
                <w:sz w:val="18"/>
                <w:szCs w:val="18"/>
              </w:rPr>
              <w:t xml:space="preserve">Total</w:t>
            </w:r>
          </w:p>
        </w:tc>
        <w:tc>
          <w:tcPr>
            <w:tcW w:w="1500" w:type="dxa"/>
          </w:tcPr>
          <w:p>
            <w:r>
              <w:rPr>
                <w:sz w:val="18"/>
                <w:szCs w:val="18"/>
              </w:rPr>
              <w:t xml:space="preserve">100</w:t>
            </w:r>
          </w:p>
        </w:tc>
        <w:tc>
          <w:tcPr>
            <w:tcW w:w="1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</w:tbl>
    <w:p>
      <w:r>
        <w:rPr>
          <w:sz w:val="20"/>
          <w:szCs w:val="20"/>
        </w:rPr>
        <w:t xml:space="preserve"/>
      </w:r>
    </w:p>
    <w:p>
      <w:r>
        <w:rPr>
          <w:b/>
          <w:sz w:val="28"/>
          <w:szCs w:val="28"/>
          <w:color w:val="197B4B"/>
        </w:rPr>
        <w:t xml:space="preserve">8. Final approval record</w:t>
      </w:r>
    </w:p>
    <w:tbl>
      <w:tblPr>
        <w:tblW w:w="9000" w:type="dxa"/>
        <w:tblBorders>
          <w:top w:val="single" w:sz="4" w:color="B7C7BF"/>
          <w:left w:val="single" w:sz="4" w:color="B7C7BF"/>
          <w:bottom w:val="single" w:sz="4" w:color="B7C7BF"/>
          <w:right w:val="single" w:sz="4" w:color="B7C7BF"/>
          <w:insideH w:val="single" w:sz="4" w:color="B7C7BF"/>
          <w:insideV w:val="single" w:sz="4" w:color="B7C7BF"/>
        </w:tblBorders>
      </w:tblPr>
      <w:tblGrid>
        <w:gridCol w:w="4500"/>
        <w:gridCol w:w="4500"/>
      </w:tblGrid>
      <w:tr>
        <w:tc>
          <w:tcPr>
            <w:tcW w:w="4500" w:type="dxa"/>
            <w:shd w:fill="EAF5EF"/>
          </w:tcPr>
          <w:p>
            <w:r>
              <w:rPr>
                <w:b/>
                <w:sz w:val="18"/>
                <w:szCs w:val="18"/>
              </w:rPr>
              <w:t xml:space="preserve">Decision item</w:t>
            </w:r>
          </w:p>
        </w:tc>
        <w:tc>
          <w:tcPr>
            <w:tcW w:w="4500" w:type="dxa"/>
            <w:shd w:fill="EAF5EF"/>
          </w:tcPr>
          <w:p>
            <w:r>
              <w:rPr>
                <w:b/>
                <w:sz w:val="18"/>
                <w:szCs w:val="18"/>
              </w:rPr>
              <w:t xml:space="preserve">Record</w:t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Selected supplier and style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Approved quotation revision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Approved sample reference/date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Open conditions before order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>Approver / role / date</w:t>
            </w:r>
          </w:p>
        </w:tc>
        <w:tc>
          <w:tcPr>
            <w:tcW w:w="4500" w:type="dxa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</w:tbl>
    <w:p>
      <w:r>
        <w:rPr>
          <w:sz w:val="16"/>
          <w:szCs w:val="16"/>
          <w:color w:val="66736C"/>
        </w:rPr>
        <w:t xml:space="preserve">This document is a procurement planning aid and does not replace a risk assessment, conformity assessment, contract or professional legal/compliance advice.</w:t>
      </w:r>
    </w:p>
    <w:sectPr>
      <w:pgSz w:w="11906" w:h="16838"/>
      <w:pgMar w:top="900" w:right="850" w:bottom="900" w:left="850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Aptos" w:hAnsi="Aptos"/>
      <w:sz w:val="20"/>
    </w:rPr>
    <w:pPr>
      <w:spacing w:after="100"/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